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2B" w:rsidRPr="00FD086B" w:rsidRDefault="00FD26F9" w:rsidP="00744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8"/>
          <w:szCs w:val="28"/>
          <w:shd w:val="clear" w:color="auto" w:fill="FFFF00"/>
        </w:rPr>
      </w:pPr>
      <w:r w:rsidRPr="00FD086B">
        <w:rPr>
          <w:rFonts w:ascii="Arial" w:hAnsi="Arial" w:cs="Arial"/>
          <w:b/>
          <w:sz w:val="28"/>
          <w:szCs w:val="28"/>
        </w:rPr>
        <w:t>Journée internationale de l’alphabétisation</w:t>
      </w:r>
      <w:r w:rsidR="008B162B" w:rsidRPr="00FD086B">
        <w:rPr>
          <w:rFonts w:ascii="Arial" w:hAnsi="Arial" w:cs="Arial"/>
          <w:b/>
          <w:sz w:val="28"/>
          <w:szCs w:val="28"/>
        </w:rPr>
        <w:t xml:space="preserve"> : </w:t>
      </w:r>
      <w:r w:rsidR="00153272">
        <w:rPr>
          <w:rFonts w:ascii="Arial" w:hAnsi="Arial" w:cs="Arial"/>
          <w:b/>
          <w:sz w:val="28"/>
          <w:szCs w:val="28"/>
        </w:rPr>
        <w:t>22</w:t>
      </w:r>
      <w:r w:rsidR="00235895" w:rsidRPr="00FD086B">
        <w:rPr>
          <w:rFonts w:ascii="Arial" w:hAnsi="Arial" w:cs="Arial"/>
          <w:b/>
          <w:sz w:val="28"/>
          <w:szCs w:val="28"/>
        </w:rPr>
        <w:t xml:space="preserve"> </w:t>
      </w:r>
      <w:r w:rsidR="008B162B" w:rsidRPr="00FD086B">
        <w:rPr>
          <w:rFonts w:ascii="Arial" w:hAnsi="Arial" w:cs="Arial"/>
          <w:b/>
          <w:sz w:val="28"/>
          <w:szCs w:val="28"/>
        </w:rPr>
        <w:t>organisations de la société civile</w:t>
      </w:r>
      <w:r w:rsidR="00235895" w:rsidRPr="00FD086B">
        <w:rPr>
          <w:rFonts w:ascii="Arial" w:hAnsi="Arial" w:cs="Arial"/>
          <w:b/>
          <w:sz w:val="28"/>
          <w:szCs w:val="28"/>
        </w:rPr>
        <w:t xml:space="preserve"> fondent </w:t>
      </w:r>
      <w:r w:rsidR="007442AE" w:rsidRPr="00FD086B">
        <w:rPr>
          <w:rFonts w:ascii="Arial" w:hAnsi="Arial" w:cs="Arial"/>
          <w:b/>
          <w:sz w:val="28"/>
          <w:szCs w:val="28"/>
        </w:rPr>
        <w:t>le</w:t>
      </w:r>
      <w:r w:rsidR="008B162B" w:rsidRPr="00FD086B">
        <w:rPr>
          <w:rFonts w:ascii="Arial" w:hAnsi="Arial" w:cs="Arial"/>
          <w:b/>
          <w:sz w:val="28"/>
          <w:szCs w:val="28"/>
        </w:rPr>
        <w:t xml:space="preserve"> Réseau de lutte à l’analphabétisme</w:t>
      </w:r>
    </w:p>
    <w:p w:rsidR="008B162B" w:rsidRPr="00B961E3" w:rsidRDefault="008B162B" w:rsidP="00FD26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rPr>
      </w:pPr>
    </w:p>
    <w:p w:rsidR="008B162B" w:rsidRPr="00B961E3"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rPr>
      </w:pPr>
      <w:r w:rsidRPr="00B961E3">
        <w:rPr>
          <w:rFonts w:ascii="Arial" w:hAnsi="Arial" w:cs="Arial"/>
          <w:b/>
          <w:szCs w:val="22"/>
        </w:rPr>
        <w:t>Montréal, le 8 septembre 2014</w:t>
      </w:r>
      <w:r w:rsidRPr="00B961E3">
        <w:rPr>
          <w:rFonts w:ascii="Arial" w:hAnsi="Arial" w:cs="Arial"/>
          <w:szCs w:val="22"/>
        </w:rPr>
        <w:t xml:space="preserve"> – En cette Journée internationale de l’alphabétisation, </w:t>
      </w:r>
      <w:r w:rsidR="00153272">
        <w:rPr>
          <w:rFonts w:ascii="Arial" w:hAnsi="Arial" w:cs="Arial"/>
          <w:szCs w:val="22"/>
        </w:rPr>
        <w:t>22</w:t>
      </w:r>
      <w:r w:rsidR="00FD26F9" w:rsidRPr="00B961E3">
        <w:rPr>
          <w:rFonts w:ascii="Arial" w:hAnsi="Arial" w:cs="Arial"/>
          <w:szCs w:val="22"/>
        </w:rPr>
        <w:t xml:space="preserve"> </w:t>
      </w:r>
      <w:r w:rsidR="00235895" w:rsidRPr="00B961E3">
        <w:rPr>
          <w:rFonts w:ascii="Arial" w:hAnsi="Arial" w:cs="Arial"/>
          <w:szCs w:val="22"/>
        </w:rPr>
        <w:t xml:space="preserve">organisations </w:t>
      </w:r>
      <w:r w:rsidR="00FD26F9" w:rsidRPr="00B961E3">
        <w:rPr>
          <w:rFonts w:ascii="Arial" w:hAnsi="Arial" w:cs="Arial"/>
          <w:szCs w:val="22"/>
        </w:rPr>
        <w:t xml:space="preserve">de la société civile s’unissent dans </w:t>
      </w:r>
      <w:r w:rsidRPr="00B961E3">
        <w:rPr>
          <w:rFonts w:ascii="Arial" w:hAnsi="Arial" w:cs="Arial"/>
          <w:szCs w:val="22"/>
        </w:rPr>
        <w:t>la création du Réseau de lutte à l’analphabétisme. « </w:t>
      </w:r>
      <w:r w:rsidRPr="00FD086B">
        <w:rPr>
          <w:rFonts w:ascii="Arial" w:hAnsi="Arial" w:cs="Arial"/>
          <w:i/>
          <w:szCs w:val="22"/>
        </w:rPr>
        <w:t>Ce Réseau composé d</w:t>
      </w:r>
      <w:r w:rsidR="00235895" w:rsidRPr="00FD086B">
        <w:rPr>
          <w:rFonts w:ascii="Arial" w:hAnsi="Arial" w:cs="Arial"/>
          <w:i/>
          <w:szCs w:val="22"/>
        </w:rPr>
        <w:t>’</w:t>
      </w:r>
      <w:r w:rsidRPr="00FD086B">
        <w:rPr>
          <w:rFonts w:ascii="Arial" w:hAnsi="Arial" w:cs="Arial"/>
          <w:i/>
          <w:szCs w:val="22"/>
        </w:rPr>
        <w:t>organisations</w:t>
      </w:r>
      <w:r w:rsidR="007442AE" w:rsidRPr="00FD086B">
        <w:rPr>
          <w:rFonts w:ascii="Arial" w:hAnsi="Arial" w:cs="Arial"/>
          <w:i/>
          <w:szCs w:val="22"/>
        </w:rPr>
        <w:t xml:space="preserve"> de la société civile souhaite</w:t>
      </w:r>
      <w:r w:rsidRPr="00FD086B">
        <w:rPr>
          <w:rFonts w:ascii="Arial" w:hAnsi="Arial" w:cs="Arial"/>
          <w:i/>
          <w:szCs w:val="22"/>
        </w:rPr>
        <w:t xml:space="preserve"> que le Québec se dote d’une stratégie nationale de lutte à l’analphabétisme</w:t>
      </w:r>
      <w:r w:rsidRPr="00B961E3">
        <w:rPr>
          <w:rFonts w:ascii="Arial" w:hAnsi="Arial" w:cs="Arial"/>
          <w:szCs w:val="22"/>
        </w:rPr>
        <w:t xml:space="preserve"> » ont conjointement fait savoir </w:t>
      </w:r>
      <w:r w:rsidR="00FD26F9" w:rsidRPr="00B961E3">
        <w:rPr>
          <w:rFonts w:ascii="Arial" w:hAnsi="Arial" w:cs="Arial"/>
          <w:szCs w:val="22"/>
        </w:rPr>
        <w:t xml:space="preserve">les porte-parole </w:t>
      </w:r>
      <w:r w:rsidRPr="00B961E3">
        <w:rPr>
          <w:rFonts w:ascii="Arial" w:hAnsi="Arial" w:cs="Arial"/>
          <w:szCs w:val="22"/>
        </w:rPr>
        <w:t>Ronald Camero</w:t>
      </w:r>
      <w:r w:rsidR="00C6271A">
        <w:rPr>
          <w:rFonts w:ascii="Arial" w:hAnsi="Arial" w:cs="Arial"/>
          <w:szCs w:val="22"/>
        </w:rPr>
        <w:t xml:space="preserve">n, directeur général de l’ICÉA, </w:t>
      </w:r>
      <w:r w:rsidRPr="00B961E3">
        <w:rPr>
          <w:rFonts w:ascii="Arial" w:hAnsi="Arial" w:cs="Arial"/>
          <w:szCs w:val="22"/>
        </w:rPr>
        <w:t>et Christian Pelletier, coordonnateur du RGPAQ.</w:t>
      </w:r>
    </w:p>
    <w:p w:rsidR="008B162B" w:rsidRPr="00B961E3"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rPr>
      </w:pPr>
    </w:p>
    <w:p w:rsidR="008B162B" w:rsidRPr="00FD086B"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Arial" w:hAnsi="Arial" w:cs="Arial"/>
          <w:b/>
          <w:szCs w:val="22"/>
        </w:rPr>
      </w:pPr>
      <w:r w:rsidRPr="00FD086B">
        <w:rPr>
          <w:rFonts w:ascii="Arial" w:hAnsi="Arial" w:cs="Arial"/>
          <w:b/>
          <w:szCs w:val="22"/>
        </w:rPr>
        <w:t>Agir sur plusieurs fronts, de concert avec tous les acteurs concernés</w:t>
      </w:r>
    </w:p>
    <w:p w:rsidR="008B162B" w:rsidRPr="00B961E3"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rPr>
      </w:pPr>
      <w:r w:rsidRPr="00B961E3">
        <w:rPr>
          <w:rFonts w:ascii="Arial" w:hAnsi="Arial" w:cs="Arial"/>
          <w:szCs w:val="22"/>
        </w:rPr>
        <w:t>Les discussions qui ont présidé à la création de ce Réseau ont permis d’identifier les multiples causes de l’analphabétisme sur lesquelles il est impératif de travailler. En conséquence, les organisations membres du Réseau affirment aujourd’hui la nécessité d’agir sur plusieurs fronts afin de mener une lutte efficace. Les membres du Réseau soutiennent qu’une stratégie nationale de lutte à l’analphabétisme doit :</w:t>
      </w:r>
    </w:p>
    <w:p w:rsidR="008B162B" w:rsidRPr="00B961E3" w:rsidRDefault="008B162B">
      <w:pPr>
        <w:numPr>
          <w:ilvl w:val="0"/>
          <w:numId w:val="1"/>
        </w:numPr>
        <w:tabs>
          <w:tab w:val="clear" w:pos="363"/>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20" w:hanging="363"/>
        <w:jc w:val="both"/>
        <w:rPr>
          <w:rFonts w:ascii="Arial" w:hAnsi="Arial" w:cs="Arial"/>
          <w:szCs w:val="22"/>
        </w:rPr>
      </w:pPr>
      <w:r w:rsidRPr="00B961E3">
        <w:rPr>
          <w:rFonts w:ascii="Arial" w:hAnsi="Arial" w:cs="Arial"/>
          <w:szCs w:val="22"/>
        </w:rPr>
        <w:t>tenir compte de la réalité des personnes peu ou pas alphabétisées et de leur famille;</w:t>
      </w:r>
    </w:p>
    <w:p w:rsidR="008B162B" w:rsidRPr="00B961E3" w:rsidRDefault="008B162B">
      <w:pPr>
        <w:numPr>
          <w:ilvl w:val="0"/>
          <w:numId w:val="1"/>
        </w:numPr>
        <w:tabs>
          <w:tab w:val="clear" w:pos="363"/>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20" w:hanging="363"/>
        <w:jc w:val="both"/>
        <w:rPr>
          <w:rFonts w:ascii="Arial" w:hAnsi="Arial" w:cs="Arial"/>
          <w:szCs w:val="22"/>
        </w:rPr>
      </w:pPr>
      <w:r w:rsidRPr="00B961E3">
        <w:rPr>
          <w:rFonts w:ascii="Arial" w:hAnsi="Arial" w:cs="Arial"/>
          <w:szCs w:val="22"/>
        </w:rPr>
        <w:t>s’appuyer sur une vision globale et cohérente du problème de l’analphabétisme, de ses causes et ses conséquences; et</w:t>
      </w:r>
    </w:p>
    <w:p w:rsidR="008B162B" w:rsidRPr="00B961E3" w:rsidRDefault="007442AE">
      <w:pPr>
        <w:numPr>
          <w:ilvl w:val="0"/>
          <w:numId w:val="1"/>
        </w:numPr>
        <w:tabs>
          <w:tab w:val="clear" w:pos="363"/>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20" w:hanging="363"/>
        <w:jc w:val="both"/>
        <w:rPr>
          <w:rFonts w:ascii="Arial" w:hAnsi="Arial" w:cs="Arial"/>
          <w:szCs w:val="22"/>
        </w:rPr>
      </w:pPr>
      <w:r w:rsidRPr="00B961E3">
        <w:rPr>
          <w:rFonts w:ascii="Arial" w:hAnsi="Arial" w:cs="Arial"/>
          <w:szCs w:val="22"/>
        </w:rPr>
        <w:t>assurer</w:t>
      </w:r>
      <w:r w:rsidR="008B162B" w:rsidRPr="00B961E3">
        <w:rPr>
          <w:rFonts w:ascii="Arial" w:hAnsi="Arial" w:cs="Arial"/>
          <w:szCs w:val="22"/>
        </w:rPr>
        <w:t xml:space="preserve"> la mise en œuvre de mesures qui s’attaqueront à la fois aux causes et aux conséquences de l’analphabétisme.</w:t>
      </w:r>
    </w:p>
    <w:p w:rsidR="008B162B" w:rsidRPr="00B961E3"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rPr>
      </w:pPr>
    </w:p>
    <w:p w:rsidR="008B162B" w:rsidRPr="00B961E3"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rPr>
      </w:pPr>
      <w:r w:rsidRPr="00B961E3">
        <w:rPr>
          <w:rFonts w:ascii="Arial" w:hAnsi="Arial" w:cs="Arial"/>
          <w:szCs w:val="22"/>
        </w:rPr>
        <w:t>« </w:t>
      </w:r>
      <w:r w:rsidRPr="00FD086B">
        <w:rPr>
          <w:rFonts w:ascii="Arial" w:hAnsi="Arial" w:cs="Arial"/>
          <w:i/>
          <w:szCs w:val="22"/>
        </w:rPr>
        <w:t>Pour les membres du Réseau, il est clair que la stratégie à construire doit interpeller l’ensemble des acteurs gouvernementaux et ceux de la société civile concernés par la lutte à l’analphabétisme. Cette stratégie doit également s’inscrire dans une perspective de justice sociale et de droit à l’éducation et à l’apprentissage tout au long de la vie</w:t>
      </w:r>
      <w:r w:rsidRPr="00B961E3">
        <w:rPr>
          <w:rFonts w:ascii="Arial" w:hAnsi="Arial" w:cs="Arial"/>
          <w:szCs w:val="22"/>
        </w:rPr>
        <w:t> », ont expliqué les porte-parole, Ronald Cameron et Christian Pelletier.</w:t>
      </w:r>
    </w:p>
    <w:p w:rsidR="008B162B" w:rsidRPr="00B961E3"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2"/>
        </w:rPr>
      </w:pPr>
    </w:p>
    <w:p w:rsidR="008B162B" w:rsidRPr="00FD086B"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Arial" w:hAnsi="Arial" w:cs="Arial"/>
          <w:b/>
          <w:szCs w:val="22"/>
        </w:rPr>
      </w:pPr>
      <w:r w:rsidRPr="00FD086B">
        <w:rPr>
          <w:rFonts w:ascii="Arial" w:hAnsi="Arial" w:cs="Arial"/>
          <w:b/>
          <w:szCs w:val="22"/>
        </w:rPr>
        <w:t>Le Réseau de lutte à l’analphabétisme</w:t>
      </w:r>
    </w:p>
    <w:p w:rsidR="008B162B" w:rsidRPr="00B961E3"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rPr>
      </w:pPr>
      <w:r w:rsidRPr="00B961E3">
        <w:rPr>
          <w:rFonts w:ascii="Arial" w:hAnsi="Arial" w:cs="Arial"/>
          <w:szCs w:val="22"/>
        </w:rPr>
        <w:t xml:space="preserve">En date du 8 septembre 2014, le Réseau de lutte à l’analphabétisme se compose des </w:t>
      </w:r>
      <w:r w:rsidR="00153272">
        <w:rPr>
          <w:rFonts w:ascii="Arial" w:hAnsi="Arial" w:cs="Arial"/>
          <w:szCs w:val="22"/>
        </w:rPr>
        <w:t>22</w:t>
      </w:r>
      <w:r w:rsidR="00FD086B">
        <w:rPr>
          <w:rFonts w:ascii="Arial" w:hAnsi="Arial" w:cs="Arial"/>
          <w:szCs w:val="22"/>
        </w:rPr>
        <w:t xml:space="preserve"> </w:t>
      </w:r>
      <w:r w:rsidRPr="00B961E3">
        <w:rPr>
          <w:rFonts w:ascii="Arial" w:hAnsi="Arial" w:cs="Arial"/>
          <w:szCs w:val="22"/>
        </w:rPr>
        <w:t>organisations suivantes :</w:t>
      </w:r>
    </w:p>
    <w:p w:rsidR="008B162B" w:rsidRPr="00B961E3"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rPr>
      </w:pP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Association québécoise des intervenantes et intervenants en formation générale des adultes (AQIFGA)</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Centrale des syndicats du Québec (CSQ)</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Centre de documentation sur l’éducation des adultes et la condition féminine (CDEACF)</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Coalition des organismes communautaires pour le développement de la main</w:t>
      </w:r>
      <w:r w:rsidRPr="00153272">
        <w:rPr>
          <w:rFonts w:ascii="Cambria Math" w:hAnsi="Cambria Math" w:cs="Cambria Math"/>
          <w:szCs w:val="22"/>
        </w:rPr>
        <w:t>‐</w:t>
      </w:r>
      <w:r w:rsidRPr="00153272">
        <w:rPr>
          <w:rFonts w:ascii="Arial" w:hAnsi="Arial" w:cs="Arial"/>
          <w:szCs w:val="22"/>
        </w:rPr>
        <w:t>d’œuvre (COCDMO)</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Collectif pour un Québec sans pauvreté</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Collège Frontière</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Confédération des syndicats nationaux (CSN)</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Fédération autonome de l’enseignement (FAE)</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Fédération des commissions scolaires du Québec (FCSQ)</w:t>
      </w:r>
    </w:p>
    <w:p w:rsidR="00153272" w:rsidRPr="00153272" w:rsidRDefault="00153272" w:rsidP="00153272">
      <w:pPr>
        <w:numPr>
          <w:ilvl w:val="0"/>
          <w:numId w:val="4"/>
        </w:numPr>
        <w:ind w:left="426" w:right="-7" w:hanging="426"/>
        <w:contextualSpacing/>
        <w:jc w:val="both"/>
        <w:rPr>
          <w:rFonts w:ascii="Arial" w:hAnsi="Arial" w:cs="Arial"/>
          <w:color w:val="auto"/>
          <w:szCs w:val="22"/>
          <w:lang w:eastAsia="fr-CA"/>
        </w:rPr>
      </w:pPr>
      <w:r w:rsidRPr="00153272">
        <w:rPr>
          <w:rFonts w:ascii="Arial" w:hAnsi="Arial" w:cs="Arial"/>
          <w:color w:val="auto"/>
          <w:szCs w:val="22"/>
          <w:lang w:eastAsia="fr-CA"/>
        </w:rPr>
        <w:t>Fédération des syndicats de l’enseignement (FSE-CSQ)</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Fédération des travailleurs et travailleuses du Québec (FTQ)</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Fédération nationale des enseignantes et enseignants du Québec (FNEEQ</w:t>
      </w:r>
      <w:r w:rsidRPr="00153272">
        <w:rPr>
          <w:rFonts w:ascii="Cambria Math" w:hAnsi="Cambria Math" w:cs="Cambria Math"/>
          <w:szCs w:val="22"/>
        </w:rPr>
        <w:t>‐</w:t>
      </w:r>
      <w:r w:rsidRPr="00153272">
        <w:rPr>
          <w:rFonts w:ascii="Arial" w:hAnsi="Arial" w:cs="Arial"/>
          <w:szCs w:val="22"/>
        </w:rPr>
        <w:t>CSN)</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lastRenderedPageBreak/>
        <w:t>Fédération québécoise des organismes communautaires Famille (FQOCF)</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Fondation pour l’alphabétisation</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Institut de coopération pour l’éducation des adultes (ICÉA)</w:t>
      </w:r>
    </w:p>
    <w:p w:rsidR="00153272" w:rsidRPr="00153272" w:rsidRDefault="00153272" w:rsidP="00153272">
      <w:pPr>
        <w:numPr>
          <w:ilvl w:val="0"/>
          <w:numId w:val="4"/>
        </w:numPr>
        <w:spacing w:after="60"/>
        <w:ind w:left="426" w:right="-7" w:hanging="426"/>
        <w:contextualSpacing/>
        <w:jc w:val="both"/>
        <w:rPr>
          <w:rFonts w:ascii="Arial" w:hAnsi="Arial" w:cs="Arial"/>
          <w:szCs w:val="22"/>
          <w:lang w:val="en-US"/>
        </w:rPr>
      </w:pPr>
      <w:r w:rsidRPr="00153272">
        <w:rPr>
          <w:rFonts w:ascii="Arial" w:hAnsi="Arial" w:cs="Arial"/>
          <w:szCs w:val="22"/>
          <w:lang w:val="en-CA"/>
        </w:rPr>
        <w:t>Literacy Quebec</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Mouvement québécois des adultes en formation (MQAF)</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Regroupement des groupes populaires en alphabétisation du Québec (RGPAQ)</w:t>
      </w:r>
    </w:p>
    <w:p w:rsidR="00153272" w:rsidRPr="00153272" w:rsidRDefault="00153272" w:rsidP="00153272">
      <w:pPr>
        <w:numPr>
          <w:ilvl w:val="0"/>
          <w:numId w:val="4"/>
        </w:numPr>
        <w:spacing w:after="60"/>
        <w:ind w:left="426" w:right="-7" w:hanging="426"/>
        <w:contextualSpacing/>
        <w:jc w:val="both"/>
        <w:rPr>
          <w:rFonts w:ascii="Arial" w:hAnsi="Arial" w:cs="Arial"/>
          <w:szCs w:val="22"/>
        </w:rPr>
      </w:pPr>
      <w:r w:rsidRPr="00153272">
        <w:rPr>
          <w:rFonts w:ascii="Arial" w:hAnsi="Arial" w:cs="Arial"/>
          <w:szCs w:val="22"/>
        </w:rPr>
        <w:t>Relais-Femmes</w:t>
      </w:r>
    </w:p>
    <w:p w:rsidR="00153272" w:rsidRPr="00153272" w:rsidRDefault="00153272" w:rsidP="00153272">
      <w:pPr>
        <w:numPr>
          <w:ilvl w:val="0"/>
          <w:numId w:val="4"/>
        </w:numPr>
        <w:ind w:left="426" w:right="-7" w:hanging="426"/>
        <w:contextualSpacing/>
        <w:jc w:val="both"/>
        <w:rPr>
          <w:rFonts w:ascii="Arial" w:hAnsi="Arial" w:cs="Arial"/>
          <w:szCs w:val="22"/>
        </w:rPr>
      </w:pPr>
      <w:r w:rsidRPr="00153272">
        <w:rPr>
          <w:rFonts w:ascii="Arial" w:hAnsi="Arial" w:cs="Arial"/>
          <w:szCs w:val="22"/>
        </w:rPr>
        <w:t>Table de concertation des organismes au service des personnes réfugiées et immigrantes (TCRI)</w:t>
      </w:r>
    </w:p>
    <w:p w:rsidR="00153272" w:rsidRPr="00153272" w:rsidRDefault="00153272" w:rsidP="00153272">
      <w:pPr>
        <w:numPr>
          <w:ilvl w:val="0"/>
          <w:numId w:val="4"/>
        </w:numPr>
        <w:ind w:left="426" w:right="-7" w:hanging="426"/>
        <w:contextualSpacing/>
        <w:jc w:val="both"/>
        <w:rPr>
          <w:rFonts w:ascii="Arial" w:hAnsi="Arial" w:cs="Arial"/>
          <w:szCs w:val="22"/>
        </w:rPr>
      </w:pPr>
      <w:r w:rsidRPr="00153272">
        <w:rPr>
          <w:rFonts w:ascii="Arial" w:hAnsi="Arial" w:cs="Arial"/>
          <w:szCs w:val="22"/>
        </w:rPr>
        <w:t>Table des responsables de l’éducation des adultes et de la formation professionnelle des commissions scolaires du Québec (TRÉAQ</w:t>
      </w:r>
      <w:r w:rsidRPr="00153272">
        <w:rPr>
          <w:rFonts w:ascii="Arial" w:hAnsi="Arial" w:cs="Arial"/>
          <w:i/>
          <w:iCs/>
          <w:szCs w:val="22"/>
        </w:rPr>
        <w:t>FP</w:t>
      </w:r>
      <w:r w:rsidRPr="00153272">
        <w:rPr>
          <w:rFonts w:ascii="Arial" w:hAnsi="Arial" w:cs="Arial"/>
          <w:szCs w:val="22"/>
        </w:rPr>
        <w:t>)</w:t>
      </w:r>
    </w:p>
    <w:p w:rsidR="00153272" w:rsidRPr="00153272" w:rsidRDefault="00153272" w:rsidP="00153272">
      <w:pPr>
        <w:numPr>
          <w:ilvl w:val="0"/>
          <w:numId w:val="4"/>
        </w:numPr>
        <w:spacing w:after="60"/>
        <w:ind w:left="426" w:right="-7" w:hanging="426"/>
        <w:contextualSpacing/>
        <w:jc w:val="both"/>
        <w:rPr>
          <w:rFonts w:ascii="Arial" w:hAnsi="Arial" w:cs="Arial"/>
          <w:szCs w:val="22"/>
          <w:lang w:val="en-US"/>
        </w:rPr>
      </w:pPr>
      <w:r w:rsidRPr="00153272">
        <w:rPr>
          <w:rFonts w:ascii="Arial" w:hAnsi="Arial" w:cs="Arial"/>
          <w:szCs w:val="22"/>
          <w:lang w:val="en-CA"/>
        </w:rPr>
        <w:t>The Centre for Literacy of Quebec</w:t>
      </w:r>
    </w:p>
    <w:p w:rsidR="008B162B" w:rsidRPr="00153272"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shd w:val="clear" w:color="auto" w:fill="00FFFF"/>
          <w:lang w:val="en-CA"/>
        </w:rPr>
      </w:pPr>
    </w:p>
    <w:p w:rsidR="008B162B" w:rsidRPr="004B007F"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99"/>
          <w:szCs w:val="22"/>
          <w:u w:val="single"/>
        </w:rPr>
      </w:pPr>
      <w:r w:rsidRPr="00B961E3">
        <w:rPr>
          <w:rFonts w:ascii="Arial" w:hAnsi="Arial" w:cs="Arial"/>
          <w:szCs w:val="22"/>
        </w:rPr>
        <w:t xml:space="preserve">Le Réseau de lutte à l’analphabétisme invite les personnes et les organisations intéressées à suivre ses travaux et </w:t>
      </w:r>
      <w:r w:rsidR="00FD26F9" w:rsidRPr="00B961E3">
        <w:rPr>
          <w:rFonts w:ascii="Arial" w:hAnsi="Arial" w:cs="Arial"/>
          <w:szCs w:val="22"/>
        </w:rPr>
        <w:t>à prendre connaissance de</w:t>
      </w:r>
      <w:r w:rsidRPr="00B961E3">
        <w:rPr>
          <w:rFonts w:ascii="Arial" w:hAnsi="Arial" w:cs="Arial"/>
          <w:szCs w:val="22"/>
        </w:rPr>
        <w:t xml:space="preserve"> ses actions en consultant son site au</w:t>
      </w:r>
      <w:r w:rsidR="004B007F">
        <w:rPr>
          <w:rFonts w:ascii="Arial" w:hAnsi="Arial" w:cs="Arial"/>
          <w:szCs w:val="22"/>
        </w:rPr>
        <w:t> :</w:t>
      </w:r>
      <w:r w:rsidRPr="00B961E3">
        <w:rPr>
          <w:rFonts w:ascii="Arial" w:hAnsi="Arial" w:cs="Arial"/>
          <w:szCs w:val="22"/>
        </w:rPr>
        <w:t> </w:t>
      </w:r>
      <w:hyperlink r:id="rId7" w:history="1">
        <w:r w:rsidR="00235895" w:rsidRPr="00B961E3">
          <w:rPr>
            <w:rStyle w:val="Lienhypertexte"/>
            <w:rFonts w:ascii="Arial" w:hAnsi="Arial" w:cs="Arial"/>
            <w:szCs w:val="22"/>
          </w:rPr>
          <w:t>http://lutteanalphabe</w:t>
        </w:r>
        <w:r w:rsidR="00235895" w:rsidRPr="00B961E3">
          <w:rPr>
            <w:rStyle w:val="Lienhypertexte"/>
            <w:rFonts w:ascii="Arial" w:hAnsi="Arial" w:cs="Arial"/>
            <w:szCs w:val="22"/>
          </w:rPr>
          <w:t>t</w:t>
        </w:r>
        <w:r w:rsidR="00235895" w:rsidRPr="00B961E3">
          <w:rPr>
            <w:rStyle w:val="Lienhypertexte"/>
            <w:rFonts w:ascii="Arial" w:hAnsi="Arial" w:cs="Arial"/>
            <w:szCs w:val="22"/>
          </w:rPr>
          <w:t>isme.ca</w:t>
        </w:r>
      </w:hyperlink>
      <w:r w:rsidRPr="00B961E3">
        <w:rPr>
          <w:rFonts w:ascii="Arial" w:hAnsi="Arial" w:cs="Arial"/>
          <w:szCs w:val="22"/>
        </w:rPr>
        <w:t>.</w:t>
      </w:r>
    </w:p>
    <w:p w:rsidR="008B162B" w:rsidRPr="00B961E3" w:rsidRDefault="008B1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2"/>
          <w:shd w:val="clear" w:color="auto" w:fill="FFFF00"/>
        </w:rPr>
      </w:pPr>
    </w:p>
    <w:p w:rsidR="008B162B" w:rsidRPr="00B961E3" w:rsidRDefault="008B162B">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rFonts w:ascii="Arial" w:hAnsi="Arial" w:cs="Arial"/>
          <w:szCs w:val="22"/>
        </w:rPr>
      </w:pPr>
      <w:r w:rsidRPr="00B961E3">
        <w:rPr>
          <w:rFonts w:ascii="Arial" w:hAnsi="Arial" w:cs="Arial"/>
          <w:szCs w:val="22"/>
        </w:rPr>
        <w:t>- 30 -</w:t>
      </w:r>
    </w:p>
    <w:p w:rsidR="00FD26F9" w:rsidRPr="00B961E3" w:rsidRDefault="00FD26F9" w:rsidP="00FD26F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Arial" w:hAnsi="Arial" w:cs="Arial"/>
          <w:szCs w:val="22"/>
        </w:rPr>
      </w:pPr>
    </w:p>
    <w:p w:rsidR="00FD26F9" w:rsidRPr="004B007F" w:rsidRDefault="000A517E" w:rsidP="00FD26F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Arial" w:hAnsi="Arial" w:cs="Arial"/>
          <w:szCs w:val="22"/>
        </w:rPr>
      </w:pPr>
      <w:r w:rsidRPr="00FD086B">
        <w:rPr>
          <w:rFonts w:ascii="Arial" w:hAnsi="Arial" w:cs="Arial"/>
          <w:szCs w:val="22"/>
          <w:u w:val="single"/>
        </w:rPr>
        <w:t>Information</w:t>
      </w:r>
      <w:r w:rsidR="004B007F">
        <w:rPr>
          <w:rFonts w:ascii="Arial" w:hAnsi="Arial" w:cs="Arial"/>
          <w:szCs w:val="22"/>
        </w:rPr>
        <w:t> :</w:t>
      </w:r>
    </w:p>
    <w:p w:rsidR="000A517E" w:rsidRPr="00B961E3" w:rsidRDefault="000A517E" w:rsidP="00FD26F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Arial" w:hAnsi="Arial" w:cs="Arial"/>
          <w:szCs w:val="22"/>
        </w:rPr>
      </w:pPr>
    </w:p>
    <w:p w:rsidR="000A517E" w:rsidRPr="00B961E3" w:rsidRDefault="000A517E" w:rsidP="000A517E">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Arial" w:hAnsi="Arial" w:cs="Arial"/>
          <w:szCs w:val="22"/>
        </w:rPr>
      </w:pPr>
      <w:r w:rsidRPr="00B961E3">
        <w:rPr>
          <w:rFonts w:ascii="Arial" w:hAnsi="Arial" w:cs="Arial"/>
          <w:szCs w:val="22"/>
        </w:rPr>
        <w:t>Caroline Meunier</w:t>
      </w:r>
    </w:p>
    <w:p w:rsidR="000A517E" w:rsidRPr="00B961E3" w:rsidRDefault="000A517E" w:rsidP="000A517E">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Arial" w:hAnsi="Arial" w:cs="Arial"/>
          <w:szCs w:val="22"/>
        </w:rPr>
      </w:pPr>
      <w:r w:rsidRPr="00B961E3">
        <w:rPr>
          <w:rFonts w:ascii="Arial" w:hAnsi="Arial" w:cs="Arial"/>
          <w:szCs w:val="22"/>
        </w:rPr>
        <w:t>Responsable au développement des analyses et des stratégies</w:t>
      </w:r>
      <w:r w:rsidRPr="00B961E3">
        <w:rPr>
          <w:rFonts w:ascii="Arial" w:hAnsi="Arial" w:cs="Arial"/>
          <w:szCs w:val="22"/>
        </w:rPr>
        <w:br/>
        <w:t>Regroupement des groupes populaires en alphabétisation du Québec (RGPAQ)</w:t>
      </w:r>
    </w:p>
    <w:p w:rsidR="000A517E" w:rsidRPr="00B961E3" w:rsidRDefault="00FD086B" w:rsidP="000A517E">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Arial" w:hAnsi="Arial" w:cs="Arial"/>
          <w:szCs w:val="22"/>
        </w:rPr>
      </w:pPr>
      <w:r>
        <w:rPr>
          <w:rFonts w:ascii="Arial" w:hAnsi="Arial" w:cs="Arial"/>
          <w:szCs w:val="22"/>
        </w:rPr>
        <w:t>514 880-7762 (cellulaire)</w:t>
      </w:r>
    </w:p>
    <w:p w:rsidR="000A517E" w:rsidRPr="00B961E3" w:rsidRDefault="000A517E" w:rsidP="000A517E">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Arial" w:hAnsi="Arial" w:cs="Arial"/>
          <w:szCs w:val="22"/>
        </w:rPr>
      </w:pPr>
    </w:p>
    <w:p w:rsidR="000A517E" w:rsidRPr="00B961E3" w:rsidRDefault="000A517E" w:rsidP="000A517E">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Arial" w:hAnsi="Arial" w:cs="Arial"/>
          <w:szCs w:val="22"/>
        </w:rPr>
      </w:pPr>
      <w:r w:rsidRPr="00B961E3">
        <w:rPr>
          <w:rFonts w:ascii="Arial" w:hAnsi="Arial" w:cs="Arial"/>
          <w:szCs w:val="22"/>
        </w:rPr>
        <w:t>Hervé Dignard</w:t>
      </w:r>
    </w:p>
    <w:p w:rsidR="000A517E" w:rsidRPr="00B961E3" w:rsidRDefault="000A517E" w:rsidP="000A517E">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Arial" w:hAnsi="Arial" w:cs="Arial"/>
          <w:szCs w:val="22"/>
        </w:rPr>
      </w:pPr>
      <w:r w:rsidRPr="00B961E3">
        <w:rPr>
          <w:rFonts w:ascii="Arial" w:hAnsi="Arial" w:cs="Arial"/>
          <w:szCs w:val="22"/>
        </w:rPr>
        <w:t>Agent de recherche et de développement</w:t>
      </w:r>
    </w:p>
    <w:p w:rsidR="000A517E" w:rsidRPr="00B961E3" w:rsidRDefault="000A517E" w:rsidP="000A517E">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Arial" w:hAnsi="Arial" w:cs="Arial"/>
          <w:szCs w:val="22"/>
        </w:rPr>
      </w:pPr>
      <w:r w:rsidRPr="00B961E3">
        <w:rPr>
          <w:rFonts w:ascii="Arial" w:hAnsi="Arial" w:cs="Arial"/>
          <w:szCs w:val="22"/>
        </w:rPr>
        <w:t>Institut de coopération pour l'éducation des adultes (ICÉA)</w:t>
      </w:r>
    </w:p>
    <w:p w:rsidR="00D3327A" w:rsidRPr="00B961E3" w:rsidRDefault="00D3327A" w:rsidP="00D3327A">
      <w:pPr>
        <w:pStyle w:val="Paragraphedelis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Arial" w:hAnsi="Arial" w:cs="Arial"/>
          <w:szCs w:val="22"/>
        </w:rPr>
      </w:pPr>
      <w:r w:rsidRPr="00B961E3">
        <w:rPr>
          <w:rFonts w:ascii="Arial" w:hAnsi="Arial" w:cs="Arial"/>
          <w:szCs w:val="22"/>
        </w:rPr>
        <w:t>514 948-2044,</w:t>
      </w:r>
      <w:r w:rsidR="006929BA">
        <w:rPr>
          <w:rFonts w:ascii="Arial" w:hAnsi="Arial" w:cs="Arial"/>
          <w:szCs w:val="22"/>
        </w:rPr>
        <w:t xml:space="preserve"> poste 239</w:t>
      </w:r>
    </w:p>
    <w:sectPr w:rsidR="00D3327A" w:rsidRPr="00B961E3">
      <w:headerReference w:type="even" r:id="rId8"/>
      <w:headerReference w:type="default" r:id="rId9"/>
      <w:footerReference w:type="even" r:id="rId10"/>
      <w:footerReference w:type="default" r:id="rId11"/>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39" w:rsidRDefault="00807239">
      <w:r>
        <w:separator/>
      </w:r>
    </w:p>
  </w:endnote>
  <w:endnote w:type="continuationSeparator" w:id="0">
    <w:p w:rsidR="00807239" w:rsidRDefault="008072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Lucida Grand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2B" w:rsidRDefault="008B162B">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fr-CA" w:eastAsia="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2B" w:rsidRDefault="008B162B">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fr-CA" w:eastAsia="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39" w:rsidRDefault="00807239">
      <w:r>
        <w:separator/>
      </w:r>
    </w:p>
  </w:footnote>
  <w:footnote w:type="continuationSeparator" w:id="0">
    <w:p w:rsidR="00807239" w:rsidRDefault="00807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2B" w:rsidRDefault="008B162B">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fr-CA" w:eastAsia="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2B" w:rsidRDefault="008B162B">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fr-CA" w:eastAsia="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3"/>
        </w:tabs>
        <w:ind w:left="363" w:firstLine="357"/>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426"/>
        </w:tabs>
        <w:ind w:left="426"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426"/>
        </w:tabs>
        <w:ind w:left="426" w:firstLine="0"/>
      </w:pPr>
      <w:rPr>
        <w:rFonts w:hint="default"/>
        <w:color w:val="000000"/>
        <w:position w:val="0"/>
        <w:sz w:val="22"/>
      </w:rPr>
    </w:lvl>
    <w:lvl w:ilvl="1">
      <w:start w:val="1"/>
      <w:numFmt w:val="bullet"/>
      <w:lvlText w:val="o"/>
      <w:lvlJc w:val="left"/>
      <w:pPr>
        <w:tabs>
          <w:tab w:val="num" w:pos="360"/>
        </w:tabs>
        <w:ind w:left="360" w:firstLine="1647"/>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367"/>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087"/>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807"/>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527"/>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247"/>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967"/>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687"/>
      </w:pPr>
      <w:rPr>
        <w:rFonts w:ascii="Wingdings" w:eastAsia="ヒラギノ角ゴ Pro W3" w:hAnsi="Wingdings" w:hint="default"/>
        <w:color w:val="000000"/>
        <w:position w:val="0"/>
        <w:sz w:val="22"/>
      </w:rPr>
    </w:lvl>
  </w:abstractNum>
  <w:abstractNum w:abstractNumId="3">
    <w:nsid w:val="041A1681"/>
    <w:multiLevelType w:val="hybridMultilevel"/>
    <w:tmpl w:val="FD3C84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1210F07"/>
    <w:multiLevelType w:val="hybridMultilevel"/>
    <w:tmpl w:val="87C65416"/>
    <w:lvl w:ilvl="0" w:tplc="0C0C000F">
      <w:start w:val="1"/>
      <w:numFmt w:val="decimal"/>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35895"/>
    <w:rsid w:val="000A517E"/>
    <w:rsid w:val="000E3599"/>
    <w:rsid w:val="00153272"/>
    <w:rsid w:val="0017019A"/>
    <w:rsid w:val="00235895"/>
    <w:rsid w:val="002C03A3"/>
    <w:rsid w:val="00314138"/>
    <w:rsid w:val="00424D1C"/>
    <w:rsid w:val="00437DB9"/>
    <w:rsid w:val="004B007F"/>
    <w:rsid w:val="004B5389"/>
    <w:rsid w:val="004C76FF"/>
    <w:rsid w:val="004F61D2"/>
    <w:rsid w:val="0052302D"/>
    <w:rsid w:val="0054781D"/>
    <w:rsid w:val="00553237"/>
    <w:rsid w:val="0059783D"/>
    <w:rsid w:val="006929BA"/>
    <w:rsid w:val="007047E7"/>
    <w:rsid w:val="00736500"/>
    <w:rsid w:val="007442AE"/>
    <w:rsid w:val="007938CC"/>
    <w:rsid w:val="00807239"/>
    <w:rsid w:val="008B0C42"/>
    <w:rsid w:val="008B162B"/>
    <w:rsid w:val="00B961E3"/>
    <w:rsid w:val="00C6271A"/>
    <w:rsid w:val="00D3327A"/>
    <w:rsid w:val="00E24E44"/>
    <w:rsid w:val="00EE3A90"/>
    <w:rsid w:val="00FD086B"/>
    <w:rsid w:val="00FD26F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libri" w:eastAsia="ヒラギノ角ゴ Pro W3" w:hAnsi="Calibri"/>
      <w:color w:val="000000"/>
      <w:sz w:val="22"/>
      <w:szCs w:val="24"/>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Formatlibre">
    <w:name w:val="Format libre"/>
    <w:pPr>
      <w:spacing w:after="200" w:line="276" w:lineRule="auto"/>
    </w:pPr>
    <w:rPr>
      <w:rFonts w:ascii="Calibri" w:eastAsia="ヒラギノ角ゴ Pro W3" w:hAnsi="Calibri"/>
      <w:color w:val="000000"/>
      <w:sz w:val="22"/>
      <w:lang w:val="fr-FR"/>
    </w:rPr>
  </w:style>
  <w:style w:type="paragraph" w:customStyle="1" w:styleId="ListParagraph">
    <w:name w:val="List Paragraph"/>
    <w:pPr>
      <w:ind w:left="720"/>
    </w:pPr>
    <w:rPr>
      <w:rFonts w:ascii="Calibri" w:eastAsia="ヒラギノ角ゴ Pro W3" w:hAnsi="Calibri"/>
      <w:color w:val="000000"/>
      <w:sz w:val="22"/>
      <w:lang w:val="fr-FR"/>
    </w:rPr>
  </w:style>
  <w:style w:type="character" w:customStyle="1" w:styleId="Hyperlink">
    <w:name w:val="Hyperlink"/>
    <w:rPr>
      <w:color w:val="094D8E"/>
      <w:sz w:val="24"/>
      <w:vertAlign w:val="baseline"/>
    </w:rPr>
  </w:style>
  <w:style w:type="character" w:styleId="Lienhypertexte">
    <w:name w:val="Hyperlink"/>
    <w:locked/>
    <w:rsid w:val="00235895"/>
    <w:rPr>
      <w:color w:val="0563C1"/>
      <w:u w:val="single"/>
    </w:rPr>
  </w:style>
  <w:style w:type="character" w:styleId="Lienhypertextesuivivisit">
    <w:name w:val="FollowedHyperlink"/>
    <w:locked/>
    <w:rsid w:val="00235895"/>
    <w:rPr>
      <w:color w:val="954F72"/>
      <w:u w:val="single"/>
    </w:rPr>
  </w:style>
  <w:style w:type="paragraph" w:styleId="Textedebulles">
    <w:name w:val="Balloon Text"/>
    <w:basedOn w:val="Normal"/>
    <w:link w:val="TextedebullesCar"/>
    <w:locked/>
    <w:rsid w:val="00FD26F9"/>
    <w:rPr>
      <w:rFonts w:ascii="Segoe UI" w:hAnsi="Segoe UI" w:cs="Segoe UI"/>
      <w:sz w:val="18"/>
      <w:szCs w:val="18"/>
    </w:rPr>
  </w:style>
  <w:style w:type="character" w:customStyle="1" w:styleId="TextedebullesCar">
    <w:name w:val="Texte de bulles Car"/>
    <w:link w:val="Textedebulles"/>
    <w:rsid w:val="00FD26F9"/>
    <w:rPr>
      <w:rFonts w:ascii="Segoe UI" w:eastAsia="ヒラギノ角ゴ Pro W3" w:hAnsi="Segoe UI" w:cs="Segoe UI"/>
      <w:color w:val="000000"/>
      <w:sz w:val="18"/>
      <w:szCs w:val="18"/>
      <w:lang w:val="fr-FR" w:eastAsia="en-US"/>
    </w:rPr>
  </w:style>
  <w:style w:type="paragraph" w:customStyle="1" w:styleId="Paragraphedeliste1">
    <w:name w:val="Paragraphe de liste1"/>
    <w:rsid w:val="00D3327A"/>
    <w:pPr>
      <w:ind w:left="720"/>
    </w:pPr>
    <w:rPr>
      <w:rFonts w:ascii="Calibri" w:eastAsia="ヒラギノ角ゴ Pro W3" w:hAnsi="Calibri"/>
      <w:color w:val="000000"/>
      <w:sz w:val="22"/>
      <w:lang w:val="fr-FR"/>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utteanalphabetism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Links>
    <vt:vector size="6" baseType="variant">
      <vt:variant>
        <vt:i4>7340087</vt:i4>
      </vt:variant>
      <vt:variant>
        <vt:i4>0</vt:i4>
      </vt:variant>
      <vt:variant>
        <vt:i4>0</vt:i4>
      </vt:variant>
      <vt:variant>
        <vt:i4>5</vt:i4>
      </vt:variant>
      <vt:variant>
        <vt:lpwstr>http://lutteanalphabetisme.ca/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Meunier</dc:creator>
  <cp:keywords/>
  <cp:lastModifiedBy>Danielle Gilbert</cp:lastModifiedBy>
  <cp:revision>2</cp:revision>
  <cp:lastPrinted>2014-09-05T18:25:00Z</cp:lastPrinted>
  <dcterms:created xsi:type="dcterms:W3CDTF">2014-09-06T09:37:00Z</dcterms:created>
  <dcterms:modified xsi:type="dcterms:W3CDTF">2014-09-06T09:37:00Z</dcterms:modified>
</cp:coreProperties>
</file>